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248378" w14:textId="2B3AD8B6" w:rsidR="00D26F0F" w:rsidRDefault="00D26F0F" w:rsidP="00D26F0F">
      <w:pPr>
        <w:jc w:val="center"/>
      </w:pPr>
      <w:r>
        <w:t>INFORME: PROYECTO LIBRADA Y TEOREMA</w:t>
      </w:r>
    </w:p>
    <w:p w14:paraId="7D9CFA24" w14:textId="776AE5C9" w:rsidR="00D26F0F" w:rsidRDefault="00D26F0F" w:rsidP="00D26F0F">
      <w:pPr>
        <w:jc w:val="center"/>
      </w:pPr>
      <w:r>
        <w:t>MAYO 2026</w:t>
      </w:r>
    </w:p>
    <w:p w14:paraId="1F04CF92" w14:textId="197E17F9" w:rsidR="00D26F0F" w:rsidRPr="007B7C4F" w:rsidRDefault="00D26F0F" w:rsidP="00D26F0F">
      <w:pPr>
        <w:jc w:val="both"/>
      </w:pPr>
      <w:r w:rsidRPr="007B7C4F">
        <w:t xml:space="preserve">El proceso de </w:t>
      </w:r>
      <w:r w:rsidRPr="007B7C4F">
        <w:rPr>
          <w:i/>
          <w:iCs/>
        </w:rPr>
        <w:t>Librada y Teorema</w:t>
      </w:r>
      <w:r w:rsidRPr="007B7C4F">
        <w:t xml:space="preserve"> ha sido, más que un proyecto, una s</w:t>
      </w:r>
      <w:r>
        <w:t xml:space="preserve">emilla </w:t>
      </w:r>
      <w:r w:rsidRPr="007B7C4F">
        <w:t xml:space="preserve">persistente en las laderas de la comuna 8 de Medellín. Una apuesta por abrir caminos donde muchas veces las trayectorias educativas parecían interrumpirse entre pendientes, silencios y urgencias cotidianas. Hoy, mientras la </w:t>
      </w:r>
      <w:r>
        <w:t>Corporación -</w:t>
      </w:r>
      <w:r w:rsidRPr="007B7C4F">
        <w:t>avanza hacia una etapa de sostenibilidad y plan de salida, quedan instaladas no solo acciones, sino capacidades, redes y voluntades comunitarias que continúan movilizando el territorio.</w:t>
      </w:r>
    </w:p>
    <w:p w14:paraId="169BD3CE" w14:textId="77777777" w:rsidR="00D26F0F" w:rsidRPr="007B7C4F" w:rsidRDefault="00D26F0F" w:rsidP="00D26F0F">
      <w:pPr>
        <w:jc w:val="both"/>
      </w:pPr>
      <w:r w:rsidRPr="007B7C4F">
        <w:t>Durante este periodo, la articulación para fortalecer la gestión territorial permitió identificar 22 casos de desescolarización. Cada uno de ellos representó mucho más que una cifra: fueron historias detenidas a mitad de camino, cuadernos cerrados antes</w:t>
      </w:r>
      <w:r>
        <w:t xml:space="preserve"> </w:t>
      </w:r>
      <w:r w:rsidRPr="007B7C4F">
        <w:t>de tiempo y niños y niñas intentando sostener sus sueños en contextos complejos. De estos casos, 7 requirieron activación de ruta y notificación institucional —3 niñas y 4 niños— debido al atraso significativo en sus trayectorias educativas. Este ejercicio permitió no solo visibilizar las barreras existentes, sino también insistir en la educación como un derecho que debe permanecer abierto, incluso en medio de las dificultades.</w:t>
      </w:r>
    </w:p>
    <w:p w14:paraId="73194F6A" w14:textId="77777777" w:rsidR="00D26F0F" w:rsidRPr="007B7C4F" w:rsidRDefault="00D26F0F" w:rsidP="00D26F0F">
      <w:pPr>
        <w:jc w:val="both"/>
      </w:pPr>
      <w:r w:rsidRPr="007B7C4F">
        <w:t>El territorio, como un mapa vivo, también habló desde sus instituciones. En la I.E. Institución Educativa Joaquín Vallejo Arbeláez se reconocen avances importantes en el mejoramiento de la infraestructura para el funcionamiento de la sede primaria. Sin embargo, la realidad continúa tensionando la capacidad institucional: la institución supera actualmente el 100% de ocupación de cupos. A ello se suma el reciente cambio de rectoría, situación que implicó retomar trazabilidades, reconstruir acuerdos y volver a tejer las relaciones necesarias para fortalecer el acompañamiento interinstitucional. Como ocurre en los procesos comunitarios, cada transición exige volver a hilar la memoria para no perder el rumbo de lo construido.</w:t>
      </w:r>
    </w:p>
    <w:p w14:paraId="2D087D96" w14:textId="6E657406" w:rsidR="00D26F0F" w:rsidRPr="007B7C4F" w:rsidRDefault="00D26F0F" w:rsidP="00D26F0F">
      <w:pPr>
        <w:jc w:val="both"/>
      </w:pPr>
      <w:r w:rsidRPr="007B7C4F">
        <w:t xml:space="preserve">En paralelo, </w:t>
      </w:r>
      <w:r>
        <w:t xml:space="preserve">están </w:t>
      </w:r>
      <w:r w:rsidRPr="007B7C4F">
        <w:t>la</w:t>
      </w:r>
      <w:r>
        <w:t>s</w:t>
      </w:r>
      <w:r w:rsidRPr="007B7C4F">
        <w:t xml:space="preserve"> sesion</w:t>
      </w:r>
      <w:r>
        <w:t>es</w:t>
      </w:r>
      <w:r w:rsidRPr="007B7C4F">
        <w:t xml:space="preserve"> desarrolladas con líderes y lideresas</w:t>
      </w:r>
      <w:r>
        <w:t>, las cuales</w:t>
      </w:r>
      <w:r w:rsidRPr="007B7C4F">
        <w:t xml:space="preserve"> </w:t>
      </w:r>
      <w:r>
        <w:t xml:space="preserve">han permitido </w:t>
      </w:r>
      <w:r w:rsidRPr="007B7C4F">
        <w:t>ver algo fundamental: cuando la comunidad reconoce su propia fuerza organizativa, las rutas de exigibilidad dejan de ser solamente protocolos y comienzan a convertirse en acciones vivas. La motivación por dinamizar estas rutas permitió activar distintas gestiones desde las Juntas de Acción Comunal, abordando situaciones que afectaban profundamente la vida comunitaria.</w:t>
      </w:r>
    </w:p>
    <w:p w14:paraId="39C6A282" w14:textId="77777777" w:rsidR="00D26F0F" w:rsidRPr="007B7C4F" w:rsidRDefault="00D26F0F" w:rsidP="00D26F0F">
      <w:pPr>
        <w:jc w:val="both"/>
      </w:pPr>
      <w:r w:rsidRPr="007B7C4F">
        <w:t xml:space="preserve">Entre ellas, se gestionaron acciones relacionadas con personas que enfrentaban problemáticas de salud mental y cuya situación representaba riesgo para sí mismas y para el entorno cercano. Asimismo, se movilizaron respuestas institucionales para la atención de dos personas adultas mayores en condición de abandono y negligencia familiar, quienes </w:t>
      </w:r>
      <w:r w:rsidRPr="007B7C4F">
        <w:lastRenderedPageBreak/>
        <w:t>requerían cuidado urgente y acompañamiento integral. Estos procesos evidencian que el cuidado también se aprende colectivamente y que, cuando una comunidad se organiza, logra sostener aquello que parecía quedar a la deriva.</w:t>
      </w:r>
    </w:p>
    <w:p w14:paraId="145525DA" w14:textId="77777777" w:rsidR="00D26F0F" w:rsidRPr="007B7C4F" w:rsidRDefault="00D26F0F" w:rsidP="00D26F0F">
      <w:pPr>
        <w:jc w:val="both"/>
      </w:pPr>
      <w:r w:rsidRPr="007B7C4F">
        <w:t xml:space="preserve">Otro de los logros significativos fue la actualización de los libros de asociados y la elección de nuevas juntas directivas en ambos sectores acompañados. Resulta especialmente valioso que más del 80% de las personas participantes continúen vinculadas a esta labor comunitaria, incluso rotando roles y responsabilidades. Este relevo no representa una ruptura, sino una forma de continuidad: una </w:t>
      </w:r>
      <w:r>
        <w:t>apuesta</w:t>
      </w:r>
      <w:r w:rsidRPr="007B7C4F">
        <w:t xml:space="preserve"> que cambia de manos, pero no de propósito. La permanencia de liderazgos demuestra el respaldo de la comunidad hacia quienes han asumido estas tareas y confirma la voluntad colectiva de seguir cuidando y gestionando el territorio desde adentro.</w:t>
      </w:r>
    </w:p>
    <w:p w14:paraId="2199E0C2" w14:textId="77777777" w:rsidR="00D26F0F" w:rsidRPr="007B7C4F" w:rsidRDefault="00D26F0F" w:rsidP="00D26F0F">
      <w:pPr>
        <w:jc w:val="both"/>
      </w:pPr>
      <w:r w:rsidRPr="007B7C4F">
        <w:t>En relación con la sostenibilidad técnica y financiera del proceso, se logró acordar con Fundación Nous Cims una extensión del tiempo para el desarrollo de acciones de mercadeo, comunicaciones y gestión de alianzas estratégicas con otras entidades hasta el 30 de julio. Esta ampliación representa una oportunidad importante para consolidar puentes, fortalecer capacidades instaladas y seguir posicionando el proceso como una experiencia significativa de articulación y</w:t>
      </w:r>
      <w:r>
        <w:t xml:space="preserve"> así sumar al objetivo misional en la </w:t>
      </w:r>
      <w:r w:rsidRPr="007B7C4F">
        <w:t>garantía de derechos.</w:t>
      </w:r>
    </w:p>
    <w:p w14:paraId="27502DAC" w14:textId="77777777" w:rsidR="00D26F0F" w:rsidRPr="007B7C4F" w:rsidRDefault="00D26F0F" w:rsidP="00D26F0F">
      <w:pPr>
        <w:jc w:val="both"/>
      </w:pPr>
      <w:r w:rsidRPr="007B7C4F">
        <w:t xml:space="preserve">Así, </w:t>
      </w:r>
      <w:r w:rsidRPr="007B7C4F">
        <w:rPr>
          <w:i/>
          <w:iCs/>
        </w:rPr>
        <w:t>Librada y Teorema</w:t>
      </w:r>
      <w:r w:rsidRPr="007B7C4F">
        <w:t xml:space="preserve"> </w:t>
      </w:r>
      <w:r>
        <w:t xml:space="preserve">va terminando esta </w:t>
      </w:r>
      <w:r w:rsidRPr="007B7C4F">
        <w:t>etapa. No como quien apaga una luz, sino como quien deja brasas encendidas en varias manos. Porque algunos proyectos terminan cuando se cierran los recursos; otros, en cambio, continúan respirando en las decisiones de una comunidad que aprendió a reconocerse capaz de sostener la vida, la educación y el cuidado colectivo.</w:t>
      </w:r>
    </w:p>
    <w:p w14:paraId="49F4E5FE" w14:textId="77777777" w:rsidR="00D26F0F" w:rsidRDefault="00D26F0F" w:rsidP="00D26F0F"/>
    <w:p w14:paraId="2AD5ADD5" w14:textId="77777777" w:rsidR="0065396B" w:rsidRDefault="0065396B"/>
    <w:p w14:paraId="50B501C8" w14:textId="77777777" w:rsidR="00D26F0F" w:rsidRDefault="00D26F0F"/>
    <w:sectPr w:rsidR="00D26F0F">
      <w:headerReference w:type="default" r:id="rId6"/>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2B2440" w14:textId="77777777" w:rsidR="00841DFE" w:rsidRDefault="00841DFE" w:rsidP="000A48B2">
      <w:pPr>
        <w:spacing w:after="0" w:line="240" w:lineRule="auto"/>
      </w:pPr>
      <w:r>
        <w:separator/>
      </w:r>
    </w:p>
  </w:endnote>
  <w:endnote w:type="continuationSeparator" w:id="0">
    <w:p w14:paraId="24482B54" w14:textId="77777777" w:rsidR="00841DFE" w:rsidRDefault="00841DFE" w:rsidP="000A48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DB2C37" w14:textId="77777777" w:rsidR="00841DFE" w:rsidRDefault="00841DFE" w:rsidP="000A48B2">
      <w:pPr>
        <w:spacing w:after="0" w:line="240" w:lineRule="auto"/>
      </w:pPr>
      <w:r>
        <w:separator/>
      </w:r>
    </w:p>
  </w:footnote>
  <w:footnote w:type="continuationSeparator" w:id="0">
    <w:p w14:paraId="34AB249A" w14:textId="77777777" w:rsidR="00841DFE" w:rsidRDefault="00841DFE" w:rsidP="000A48B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217EEF" w14:textId="5E9F3E62" w:rsidR="000A48B2" w:rsidRPr="000A48B2" w:rsidRDefault="00904D18" w:rsidP="000A48B2">
    <w:pPr>
      <w:pStyle w:val="Encabezado"/>
      <w:jc w:val="right"/>
      <w:rPr>
        <w:b/>
        <w:bCs/>
        <w:i/>
        <w:iCs/>
      </w:rPr>
    </w:pPr>
    <w:r>
      <w:rPr>
        <w:b/>
        <w:bCs/>
        <w:i/>
        <w:iCs/>
        <w:noProof/>
      </w:rPr>
      <w:drawing>
        <wp:anchor distT="0" distB="0" distL="114300" distR="114300" simplePos="0" relativeHeight="251658240" behindDoc="1" locked="0" layoutInCell="1" allowOverlap="1" wp14:anchorId="1E291FDA" wp14:editId="50218B4F">
          <wp:simplePos x="0" y="0"/>
          <wp:positionH relativeFrom="margin">
            <wp:align>left</wp:align>
          </wp:positionH>
          <wp:positionV relativeFrom="paragraph">
            <wp:posOffset>-167640</wp:posOffset>
          </wp:positionV>
          <wp:extent cx="1915376" cy="617220"/>
          <wp:effectExtent l="0" t="0" r="0" b="0"/>
          <wp:wrapTight wrapText="bothSides">
            <wp:wrapPolygon edited="0">
              <wp:start x="1719" y="0"/>
              <wp:lineTo x="645" y="2667"/>
              <wp:lineTo x="215" y="6000"/>
              <wp:lineTo x="430" y="13333"/>
              <wp:lineTo x="16329" y="20667"/>
              <wp:lineTo x="21056" y="20667"/>
              <wp:lineTo x="21056" y="2000"/>
              <wp:lineTo x="19981" y="0"/>
              <wp:lineTo x="1719" y="0"/>
            </wp:wrapPolygon>
          </wp:wrapTight>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1915376" cy="617220"/>
                  </a:xfrm>
                  <a:prstGeom prst="rect">
                    <a:avLst/>
                  </a:prstGeom>
                </pic:spPr>
              </pic:pic>
            </a:graphicData>
          </a:graphic>
        </wp:anchor>
      </w:drawing>
    </w:r>
    <w:r w:rsidR="000A48B2" w:rsidRPr="000A48B2">
      <w:rPr>
        <w:b/>
        <w:bCs/>
        <w:i/>
        <w:iCs/>
      </w:rPr>
      <w:t xml:space="preserve">Realizado por: </w:t>
    </w:r>
    <w:proofErr w:type="spellStart"/>
    <w:r w:rsidR="000A48B2" w:rsidRPr="000A48B2">
      <w:rPr>
        <w:b/>
        <w:bCs/>
        <w:i/>
        <w:iCs/>
      </w:rPr>
      <w:t>Yrina</w:t>
    </w:r>
    <w:proofErr w:type="spellEnd"/>
    <w:r w:rsidR="000A48B2" w:rsidRPr="000A48B2">
      <w:rPr>
        <w:b/>
        <w:bCs/>
        <w:i/>
        <w:iCs/>
      </w:rPr>
      <w:t xml:space="preserve"> Vanesa Romaña C.</w:t>
    </w:r>
  </w:p>
  <w:p w14:paraId="639CD413" w14:textId="77777777" w:rsidR="000A48B2" w:rsidRDefault="000A48B2">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6F0F"/>
    <w:rsid w:val="000A48B2"/>
    <w:rsid w:val="005F3F70"/>
    <w:rsid w:val="0065396B"/>
    <w:rsid w:val="00655B44"/>
    <w:rsid w:val="00841DFE"/>
    <w:rsid w:val="00904D18"/>
    <w:rsid w:val="00D26F0F"/>
    <w:rsid w:val="00E5635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1478B3"/>
  <w15:chartTrackingRefBased/>
  <w15:docId w15:val="{EA964D09-8C2E-48BA-8842-F31A6A4E93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C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6F0F"/>
  </w:style>
  <w:style w:type="paragraph" w:styleId="Ttulo1">
    <w:name w:val="heading 1"/>
    <w:basedOn w:val="Normal"/>
    <w:next w:val="Normal"/>
    <w:link w:val="Ttulo1Car"/>
    <w:uiPriority w:val="9"/>
    <w:qFormat/>
    <w:rsid w:val="00D26F0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D26F0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D26F0F"/>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D26F0F"/>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D26F0F"/>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D26F0F"/>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26F0F"/>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26F0F"/>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26F0F"/>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26F0F"/>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D26F0F"/>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D26F0F"/>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D26F0F"/>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D26F0F"/>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D26F0F"/>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26F0F"/>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26F0F"/>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26F0F"/>
    <w:rPr>
      <w:rFonts w:eastAsiaTheme="majorEastAsia" w:cstheme="majorBidi"/>
      <w:color w:val="272727" w:themeColor="text1" w:themeTint="D8"/>
    </w:rPr>
  </w:style>
  <w:style w:type="paragraph" w:styleId="Ttulo">
    <w:name w:val="Title"/>
    <w:basedOn w:val="Normal"/>
    <w:next w:val="Normal"/>
    <w:link w:val="TtuloCar"/>
    <w:uiPriority w:val="10"/>
    <w:qFormat/>
    <w:rsid w:val="00D26F0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26F0F"/>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26F0F"/>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26F0F"/>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26F0F"/>
    <w:pPr>
      <w:spacing w:before="160"/>
      <w:jc w:val="center"/>
    </w:pPr>
    <w:rPr>
      <w:i/>
      <w:iCs/>
      <w:color w:val="404040" w:themeColor="text1" w:themeTint="BF"/>
    </w:rPr>
  </w:style>
  <w:style w:type="character" w:customStyle="1" w:styleId="CitaCar">
    <w:name w:val="Cita Car"/>
    <w:basedOn w:val="Fuentedeprrafopredeter"/>
    <w:link w:val="Cita"/>
    <w:uiPriority w:val="29"/>
    <w:rsid w:val="00D26F0F"/>
    <w:rPr>
      <w:i/>
      <w:iCs/>
      <w:color w:val="404040" w:themeColor="text1" w:themeTint="BF"/>
    </w:rPr>
  </w:style>
  <w:style w:type="paragraph" w:styleId="Prrafodelista">
    <w:name w:val="List Paragraph"/>
    <w:basedOn w:val="Normal"/>
    <w:uiPriority w:val="34"/>
    <w:qFormat/>
    <w:rsid w:val="00D26F0F"/>
    <w:pPr>
      <w:ind w:left="720"/>
      <w:contextualSpacing/>
    </w:pPr>
  </w:style>
  <w:style w:type="character" w:styleId="nfasisintenso">
    <w:name w:val="Intense Emphasis"/>
    <w:basedOn w:val="Fuentedeprrafopredeter"/>
    <w:uiPriority w:val="21"/>
    <w:qFormat/>
    <w:rsid w:val="00D26F0F"/>
    <w:rPr>
      <w:i/>
      <w:iCs/>
      <w:color w:val="0F4761" w:themeColor="accent1" w:themeShade="BF"/>
    </w:rPr>
  </w:style>
  <w:style w:type="paragraph" w:styleId="Citadestacada">
    <w:name w:val="Intense Quote"/>
    <w:basedOn w:val="Normal"/>
    <w:next w:val="Normal"/>
    <w:link w:val="CitadestacadaCar"/>
    <w:uiPriority w:val="30"/>
    <w:qFormat/>
    <w:rsid w:val="00D26F0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D26F0F"/>
    <w:rPr>
      <w:i/>
      <w:iCs/>
      <w:color w:val="0F4761" w:themeColor="accent1" w:themeShade="BF"/>
    </w:rPr>
  </w:style>
  <w:style w:type="character" w:styleId="Referenciaintensa">
    <w:name w:val="Intense Reference"/>
    <w:basedOn w:val="Fuentedeprrafopredeter"/>
    <w:uiPriority w:val="32"/>
    <w:qFormat/>
    <w:rsid w:val="00D26F0F"/>
    <w:rPr>
      <w:b/>
      <w:bCs/>
      <w:smallCaps/>
      <w:color w:val="0F4761" w:themeColor="accent1" w:themeShade="BF"/>
      <w:spacing w:val="5"/>
    </w:rPr>
  </w:style>
  <w:style w:type="paragraph" w:styleId="Encabezado">
    <w:name w:val="header"/>
    <w:basedOn w:val="Normal"/>
    <w:link w:val="EncabezadoCar"/>
    <w:uiPriority w:val="99"/>
    <w:unhideWhenUsed/>
    <w:rsid w:val="000A48B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A48B2"/>
  </w:style>
  <w:style w:type="paragraph" w:styleId="Piedepgina">
    <w:name w:val="footer"/>
    <w:basedOn w:val="Normal"/>
    <w:link w:val="PiedepginaCar"/>
    <w:uiPriority w:val="99"/>
    <w:unhideWhenUsed/>
    <w:rsid w:val="000A48B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A48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16</TotalTime>
  <Pages>2</Pages>
  <Words>698</Words>
  <Characters>3842</Characters>
  <Application>Microsoft Office Word</Application>
  <DocSecurity>0</DocSecurity>
  <Lines>32</Lines>
  <Paragraphs>9</Paragraphs>
  <ScaleCrop>false</ScaleCrop>
  <Company/>
  <LinksUpToDate>false</LinksUpToDate>
  <CharactersWithSpaces>4531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zoraida Bolivar</dc:creator>
  <cp:keywords/>
  <dc:description/>
  <cp:lastModifiedBy>Maribel Giraldo Lizcano</cp:lastModifiedBy>
  <cp:revision>3</cp:revision>
  <dcterms:created xsi:type="dcterms:W3CDTF">2026-05-26T18:19:00Z</dcterms:created>
  <dcterms:modified xsi:type="dcterms:W3CDTF">2026-05-26T18:59:00Z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baee9a69-42c8-4687-b1ae-cb6aca4dbf80</vt:lpwstr>
  </property>
</Properties>
</file>